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6494B" w14:textId="77777777" w:rsidR="004F405C" w:rsidRDefault="006D289E">
      <w:pPr>
        <w:spacing w:beforeLines="100" w:before="312" w:afterLines="50" w:after="156" w:line="600" w:lineRule="exact"/>
        <w:ind w:left="640" w:hangingChars="200" w:hanging="640"/>
        <w:jc w:val="left"/>
        <w:rPr>
          <w:rFonts w:ascii="Times New Roman" w:eastAsia="方正小标宋_GBK" w:hAnsi="Times New Roman" w:cs="Times New Roman"/>
          <w:sz w:val="32"/>
          <w:szCs w:val="32"/>
          <w:lang w:val="zh-CN"/>
        </w:rPr>
      </w:pPr>
      <w:r>
        <w:rPr>
          <w:rFonts w:ascii="黑体" w:eastAsia="黑体" w:hAnsi="黑体" w:cs="Times New Roman" w:hint="eastAsia"/>
          <w:sz w:val="32"/>
          <w:szCs w:val="32"/>
          <w:lang w:val="zh-CN"/>
        </w:rPr>
        <w:t>附件</w:t>
      </w:r>
      <w:r>
        <w:rPr>
          <w:rFonts w:ascii="Times New Roman" w:eastAsia="方正小标宋_GBK" w:hAnsi="Times New Roman" w:cs="Times New Roman" w:hint="eastAsia"/>
          <w:sz w:val="32"/>
          <w:szCs w:val="32"/>
          <w:lang w:val="zh-CN"/>
        </w:rPr>
        <w:t>2</w:t>
      </w:r>
    </w:p>
    <w:p w14:paraId="660F3CFC" w14:textId="77777777" w:rsidR="004F405C" w:rsidRDefault="004F405C">
      <w:pPr>
        <w:spacing w:line="600" w:lineRule="exact"/>
        <w:ind w:leftChars="336" w:left="706"/>
        <w:jc w:val="center"/>
        <w:rPr>
          <w:rFonts w:ascii="Times New Roman" w:eastAsia="方正小标宋_GBK" w:hAnsi="Times New Roman"/>
          <w:sz w:val="44"/>
          <w:szCs w:val="44"/>
        </w:rPr>
      </w:pPr>
    </w:p>
    <w:p w14:paraId="5A3BDA25" w14:textId="77777777" w:rsidR="004F405C" w:rsidRDefault="006D289E">
      <w:pPr>
        <w:spacing w:line="600" w:lineRule="exact"/>
        <w:ind w:leftChars="336" w:left="706"/>
        <w:jc w:val="center"/>
        <w:rPr>
          <w:rFonts w:ascii="Times New Roman" w:eastAsia="方正小标宋_GBK" w:hAnsi="Times New Roman"/>
          <w:sz w:val="44"/>
          <w:szCs w:val="44"/>
        </w:rPr>
      </w:pPr>
      <w:r>
        <w:rPr>
          <w:rFonts w:ascii="Times New Roman" w:eastAsia="方正小标宋_GBK" w:hAnsi="Times New Roman" w:hint="eastAsia"/>
          <w:sz w:val="44"/>
          <w:szCs w:val="44"/>
        </w:rPr>
        <w:t>2</w:t>
      </w:r>
      <w:r>
        <w:rPr>
          <w:rFonts w:ascii="Times New Roman" w:eastAsia="方正小标宋_GBK" w:hAnsi="Times New Roman"/>
          <w:sz w:val="44"/>
          <w:szCs w:val="44"/>
        </w:rPr>
        <w:t>026</w:t>
      </w:r>
      <w:r>
        <w:rPr>
          <w:rFonts w:ascii="方正小标宋_GBK" w:eastAsia="方正小标宋_GBK" w:hAnsi="Times New Roman" w:hint="eastAsia"/>
          <w:sz w:val="44"/>
          <w:szCs w:val="44"/>
        </w:rPr>
        <w:t>年度国家教育考试科研规划课题</w:t>
      </w:r>
    </w:p>
    <w:p w14:paraId="36107633" w14:textId="77777777" w:rsidR="004F405C" w:rsidRDefault="006D289E">
      <w:pPr>
        <w:spacing w:line="600" w:lineRule="exact"/>
        <w:ind w:leftChars="336" w:left="706"/>
        <w:jc w:val="center"/>
        <w:rPr>
          <w:rFonts w:ascii="Times New Roman" w:eastAsia="方正小标宋_GBK" w:hAnsi="Times New Roman"/>
          <w:sz w:val="44"/>
          <w:szCs w:val="44"/>
        </w:rPr>
      </w:pPr>
      <w:r>
        <w:rPr>
          <w:rFonts w:ascii="方正小标宋_GBK" w:eastAsia="方正小标宋_GBK" w:hAnsi="Times New Roman" w:hint="eastAsia"/>
          <w:sz w:val="44"/>
          <w:szCs w:val="44"/>
        </w:rPr>
        <w:t>选题指南</w:t>
      </w:r>
    </w:p>
    <w:p w14:paraId="0C10866A" w14:textId="77777777" w:rsidR="004F405C" w:rsidRDefault="004F405C">
      <w:pPr>
        <w:spacing w:line="600" w:lineRule="exact"/>
        <w:ind w:firstLineChars="200" w:firstLine="643"/>
        <w:rPr>
          <w:rFonts w:ascii="Times New Roman" w:eastAsia="仿宋_GB2312" w:hAnsi="Times New Roman" w:cs="Times New Roman"/>
          <w:b/>
          <w:sz w:val="32"/>
          <w:szCs w:val="32"/>
        </w:rPr>
      </w:pPr>
    </w:p>
    <w:p w14:paraId="55482710" w14:textId="77777777" w:rsidR="004F405C" w:rsidRDefault="006D289E">
      <w:pPr>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hint="eastAsia"/>
          <w:b/>
          <w:sz w:val="32"/>
          <w:szCs w:val="32"/>
        </w:rPr>
        <w:t>五育并举导向的高考考试内容体系完善与实施路径研究</w:t>
      </w:r>
      <w:bookmarkStart w:id="0" w:name="_GoBack"/>
      <w:bookmarkEnd w:id="0"/>
    </w:p>
    <w:p w14:paraId="46A0EDEF" w14:textId="77777777" w:rsidR="004F405C" w:rsidRDefault="006D289E">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指南意图：（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梳理分析当前高考考试内容引导学生全面发展的实践探索与可改进空间；（</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）研究完善五育并举导向的</w:t>
      </w:r>
      <w:r>
        <w:rPr>
          <w:rFonts w:ascii="Times New Roman" w:eastAsia="仿宋_GB2312" w:hAnsi="Times New Roman" w:cs="Times New Roman" w:hint="eastAsia"/>
          <w:sz w:val="32"/>
          <w:szCs w:val="32"/>
        </w:rPr>
        <w:t>高考考试内容体系框架；（</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color w:val="0F1115"/>
          <w:sz w:val="32"/>
          <w:szCs w:val="32"/>
          <w:shd w:val="clear" w:color="auto" w:fill="FFFFFF"/>
        </w:rPr>
        <w:t>研究开发能够有效融入五育要素的情境化命题技术和评分标准；</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）选取典型学科开展命题实验与可行性验证；（</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）研究提出分学科的实施路径建议。</w:t>
      </w:r>
    </w:p>
    <w:p w14:paraId="351E24A7" w14:textId="77777777" w:rsidR="004F405C" w:rsidRDefault="006D289E">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2. </w:t>
      </w:r>
      <w:r>
        <w:rPr>
          <w:rFonts w:ascii="Times New Roman" w:eastAsia="仿宋_GB2312" w:hAnsi="Times New Roman" w:cs="Times New Roman" w:hint="eastAsia"/>
          <w:b/>
          <w:sz w:val="32"/>
          <w:szCs w:val="32"/>
        </w:rPr>
        <w:t>服务国家战略的高考外语跨文化交际能力测评模型构建与效度验证研究</w:t>
      </w:r>
    </w:p>
    <w:p w14:paraId="6E327ADE" w14:textId="77777777" w:rsidR="004F405C" w:rsidRDefault="006D289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指南意图：（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）开展国际主流外语测试跨文化交际能力考查的比较研究；（</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）研究构建高考外语跨文化交际能力测评模型；（</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）研究设计基于测评模型的高考外语跨文化交际测评任务；（</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）开展高考外语跨文化交际测评模型的效度验证研究；（</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）研究提出将跨文化交际能力纳入高考外语评价体系的建议。</w:t>
      </w:r>
    </w:p>
    <w:p w14:paraId="180167AA" w14:textId="77777777" w:rsidR="004F405C" w:rsidRDefault="006D289E">
      <w:pPr>
        <w:spacing w:line="600" w:lineRule="exact"/>
        <w:ind w:firstLineChars="219" w:firstLine="704"/>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hint="eastAsia"/>
          <w:b/>
          <w:color w:val="000000" w:themeColor="text1"/>
          <w:sz w:val="32"/>
          <w:szCs w:val="32"/>
        </w:rPr>
        <w:t>．</w:t>
      </w:r>
      <w:r>
        <w:rPr>
          <w:rFonts w:ascii="Times New Roman" w:eastAsia="仿宋_GB2312" w:hAnsi="Times New Roman" w:cs="Times New Roman" w:hint="eastAsia"/>
          <w:b/>
          <w:bCs/>
          <w:sz w:val="32"/>
          <w:szCs w:val="32"/>
        </w:rPr>
        <w:t>学术型与专业型硕士研究生招生考试差异化命题策</w:t>
      </w:r>
      <w:r>
        <w:rPr>
          <w:rFonts w:ascii="Times New Roman" w:eastAsia="仿宋_GB2312" w:hAnsi="Times New Roman" w:cs="Times New Roman" w:hint="eastAsia"/>
          <w:b/>
          <w:bCs/>
          <w:sz w:val="32"/>
          <w:szCs w:val="32"/>
        </w:rPr>
        <w:lastRenderedPageBreak/>
        <w:t>略研究</w:t>
      </w:r>
    </w:p>
    <w:p w14:paraId="7E445650" w14:textId="77777777" w:rsidR="004F405C" w:rsidRDefault="006D289E">
      <w:pPr>
        <w:spacing w:line="600" w:lineRule="exact"/>
        <w:ind w:firstLineChars="219" w:firstLine="701"/>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）开展学术型与专业型硕士研究生招生考试命题现状调研与问题诊断研究；（</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）分析学术型与专业型硕士两类人才的核心特质与培养目标差异；（</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）研究两类考试在考查目标、考查内容及题型设计等维度的差异化定位与配置方案；（</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）研究两类考试差异化命题的技术规范与质量评价指标体系；（</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）研究两类考试差异化命题的组织实施流程与制度保障。</w:t>
      </w:r>
    </w:p>
    <w:p w14:paraId="508DB58C" w14:textId="77777777" w:rsidR="004F405C" w:rsidRDefault="006D289E">
      <w:pPr>
        <w:spacing w:line="600" w:lineRule="exact"/>
        <w:ind w:firstLineChars="200" w:firstLine="627"/>
        <w:rPr>
          <w:rFonts w:ascii="Times New Roman" w:eastAsia="仿宋_GB2312" w:hAnsi="Times New Roman" w:cs="Times New Roman"/>
          <w:bCs/>
          <w:color w:val="FF0000"/>
          <w:spacing w:val="-4"/>
          <w:sz w:val="32"/>
          <w:szCs w:val="32"/>
        </w:rPr>
      </w:pPr>
      <w:r>
        <w:rPr>
          <w:rFonts w:ascii="Times New Roman" w:eastAsia="仿宋_GB2312" w:hAnsi="Times New Roman" w:cs="Times New Roman"/>
          <w:b/>
          <w:spacing w:val="-4"/>
          <w:sz w:val="32"/>
          <w:szCs w:val="32"/>
        </w:rPr>
        <w:t>4</w:t>
      </w:r>
      <w:r>
        <w:rPr>
          <w:rFonts w:ascii="Times New Roman" w:eastAsia="仿宋_GB2312" w:hAnsi="Times New Roman" w:cs="Times New Roman" w:hint="eastAsia"/>
          <w:b/>
          <w:color w:val="000000" w:themeColor="text1"/>
          <w:spacing w:val="-4"/>
          <w:sz w:val="32"/>
          <w:szCs w:val="32"/>
        </w:rPr>
        <w:t>．</w:t>
      </w:r>
      <w:r>
        <w:rPr>
          <w:rFonts w:ascii="Times New Roman" w:eastAsia="仿宋_GB2312" w:hAnsi="Times New Roman" w:cs="Times New Roman" w:hint="eastAsia"/>
          <w:b/>
          <w:spacing w:val="-4"/>
          <w:sz w:val="32"/>
          <w:szCs w:val="32"/>
        </w:rPr>
        <w:t>人工智能辅助大规模考试命题的应用模式与风险防控策略研究</w:t>
      </w:r>
    </w:p>
    <w:p w14:paraId="7CF57DC2" w14:textId="77777777" w:rsidR="004F405C" w:rsidRDefault="006D289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指南意图：（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）研究人工智能辅助大规模考试命题的应用现状、典型场景与学科适配性；（</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研究分学科的人工智能辅助命题应用</w:t>
      </w:r>
      <w:r>
        <w:rPr>
          <w:rFonts w:ascii="Times New Roman" w:eastAsia="仿宋_GB2312" w:hAnsi="Times New Roman" w:cs="Times New Roman" w:hint="eastAsia"/>
          <w:bCs/>
          <w:sz w:val="32"/>
          <w:szCs w:val="32"/>
        </w:rPr>
        <w:t>模式框架与人机协同机制；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）梳理人工智能辅助命题的潜在风险，</w:t>
      </w:r>
      <w:r>
        <w:rPr>
          <w:rFonts w:ascii="Times New Roman" w:eastAsia="仿宋_GB2312" w:hAnsi="Times New Roman" w:cs="Times New Roman" w:hint="eastAsia"/>
          <w:bCs/>
          <w:sz w:val="32"/>
          <w:szCs w:val="32"/>
        </w:rPr>
        <w:t>研究各类风险的核心研判指标与评估方法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）研究人工智能辅助命题的风险防控体系与分类应对策略；（</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）开展人工智能辅助命题的实证研究与效果验证。</w:t>
      </w:r>
    </w:p>
    <w:p w14:paraId="3C52FAA8" w14:textId="77777777" w:rsidR="004F405C" w:rsidRDefault="006D289E">
      <w:pPr>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hint="eastAsia"/>
          <w:b/>
          <w:color w:val="000000" w:themeColor="text1"/>
          <w:sz w:val="32"/>
          <w:szCs w:val="32"/>
        </w:rPr>
        <w:t>．</w:t>
      </w:r>
      <w:r>
        <w:rPr>
          <w:rFonts w:ascii="Times New Roman" w:eastAsia="仿宋_GB2312" w:hAnsi="Times New Roman" w:cs="Times New Roman" w:hint="eastAsia"/>
          <w:b/>
          <w:bCs/>
          <w:sz w:val="32"/>
          <w:szCs w:val="32"/>
        </w:rPr>
        <w:t>基于生成式人工智能的人机协同试题质量检核模式与流程规范研究</w:t>
      </w:r>
    </w:p>
    <w:p w14:paraId="0A712B7D" w14:textId="77777777" w:rsidR="004F405C" w:rsidRDefault="006D289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）审视当前大规模考试命题试题质量检核的核心维度、关键指标与操作流程</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）研究生成式人工智能在试题质量检核中的功能边界、技术能力与可靠性；（</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）研究人机协同的试题质量检核模式与协同策略；（</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）研制人</w:t>
      </w:r>
      <w:r>
        <w:rPr>
          <w:rFonts w:ascii="Times New Roman" w:eastAsia="仿宋_GB2312" w:hAnsi="Times New Roman" w:cs="Times New Roman" w:hint="eastAsia"/>
          <w:bCs/>
          <w:sz w:val="32"/>
          <w:szCs w:val="32"/>
        </w:rPr>
        <w:lastRenderedPageBreak/>
        <w:t>机协同试题质量检核的标准化工作流程、操作规范与质量控制要点</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）开展人机协同试题质量检核模式的实证研究与应用效果验证。</w:t>
      </w:r>
    </w:p>
    <w:p w14:paraId="57B62B64" w14:textId="77777777" w:rsidR="004F405C" w:rsidRDefault="006D289E">
      <w:pPr>
        <w:spacing w:line="620" w:lineRule="exact"/>
        <w:ind w:firstLineChars="219" w:firstLine="704"/>
        <w:rPr>
          <w:rFonts w:ascii="Times New Roman" w:eastAsia="仿宋_GB2312" w:hAnsi="Times New Roman" w:cs="Times New Roman"/>
          <w:b/>
          <w:bCs/>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hint="eastAsia"/>
          <w:b/>
          <w:bCs/>
          <w:sz w:val="32"/>
          <w:szCs w:val="32"/>
        </w:rPr>
        <w:t>．人工智能赋能中小学教师资格考试面试评价研究</w:t>
      </w:r>
    </w:p>
    <w:p w14:paraId="4DFDA633" w14:textId="77777777" w:rsidR="004F405C" w:rsidRDefault="006D289E">
      <w:pPr>
        <w:spacing w:line="620" w:lineRule="exact"/>
        <w:ind w:firstLineChars="219" w:firstLine="701"/>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）研究中小学教师资格考试面试评价的核心维度与关键指标；（</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）研究</w:t>
      </w:r>
      <w:r>
        <w:rPr>
          <w:rFonts w:ascii="Times New Roman" w:eastAsia="仿宋_GB2312" w:hAnsi="Times New Roman" w:cs="Times New Roman" w:hint="eastAsia"/>
          <w:sz w:val="32"/>
          <w:szCs w:val="32"/>
        </w:rPr>
        <w:t>人工智能在面试评价中的功能边界与技术能力；</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）研究构建人工智能赋能的面试评价模型；（</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）研究人机协同的面试评价运行模式、</w:t>
      </w:r>
      <w:r>
        <w:rPr>
          <w:rFonts w:ascii="Times New Roman" w:eastAsia="仿宋_GB2312" w:hAnsi="Times New Roman" w:cs="Times New Roman" w:hint="eastAsia"/>
          <w:sz w:val="32"/>
          <w:szCs w:val="32"/>
        </w:rPr>
        <w:t>质量保障与动态监控机制；（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）开展人机协同面试评价模式的实证研究。</w:t>
      </w:r>
    </w:p>
    <w:p w14:paraId="52EA7382" w14:textId="77777777" w:rsidR="004F405C" w:rsidRDefault="006D289E">
      <w:pPr>
        <w:spacing w:line="62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7. </w:t>
      </w:r>
      <w:r>
        <w:rPr>
          <w:rFonts w:ascii="Times New Roman" w:eastAsia="仿宋_GB2312" w:hAnsi="Times New Roman" w:cs="Times New Roman" w:hint="eastAsia"/>
          <w:b/>
          <w:sz w:val="32"/>
          <w:szCs w:val="32"/>
        </w:rPr>
        <w:t>普通高校艺术类专业省级统考视频评阅的评分一致性监测与智能预警机制研究</w:t>
      </w:r>
    </w:p>
    <w:p w14:paraId="2D636245" w14:textId="77777777" w:rsidR="004F405C" w:rsidRDefault="006D289E">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sz w:val="32"/>
          <w:szCs w:val="32"/>
        </w:rPr>
        <w:t>研究视频评阅评分一致性的影响因素与动态监测指标体系；（</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）研究视频评阅评分一致性动态监测的技术模型与智能预警阈值设定；（</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）研究智能预警的分级响应流程与干预策略；（</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）研究监测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干预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反</w:t>
      </w:r>
      <w:r>
        <w:rPr>
          <w:rFonts w:ascii="Times New Roman" w:eastAsia="仿宋_GB2312" w:hAnsi="Times New Roman" w:cs="Times New Roman" w:hint="eastAsia"/>
          <w:sz w:val="32"/>
          <w:szCs w:val="32"/>
        </w:rPr>
        <w:t>馈的闭环运行机制；（</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）开展评分一致性动态监测与智能预警机制的试点应用与效果评估</w:t>
      </w:r>
      <w:r>
        <w:rPr>
          <w:rFonts w:ascii="Times New Roman" w:eastAsia="仿宋_GB2312" w:hAnsi="Times New Roman" w:cs="Times New Roman" w:hint="eastAsia"/>
          <w:sz w:val="32"/>
          <w:szCs w:val="32"/>
          <w:lang w:eastAsia="zh"/>
        </w:rPr>
        <w:t>研究</w:t>
      </w:r>
      <w:r>
        <w:rPr>
          <w:rFonts w:ascii="Times New Roman" w:eastAsia="仿宋_GB2312" w:hAnsi="Times New Roman" w:cs="Times New Roman" w:hint="eastAsia"/>
          <w:sz w:val="32"/>
          <w:szCs w:val="32"/>
        </w:rPr>
        <w:t>。</w:t>
      </w:r>
    </w:p>
    <w:p w14:paraId="636B8878" w14:textId="77777777" w:rsidR="004F405C" w:rsidRDefault="006D289E">
      <w:pPr>
        <w:spacing w:line="620" w:lineRule="exact"/>
        <w:ind w:firstLineChars="219" w:firstLine="704"/>
        <w:rPr>
          <w:rFonts w:ascii="Times New Roman" w:eastAsia="仿宋_GB2312" w:hAnsi="Times New Roman" w:cs="Times New Roman"/>
          <w:b/>
          <w:sz w:val="32"/>
          <w:szCs w:val="32"/>
        </w:rPr>
      </w:pPr>
      <w:r>
        <w:rPr>
          <w:rFonts w:ascii="Times New Roman" w:eastAsia="仿宋_GB2312" w:hAnsi="Times New Roman" w:cs="Times New Roman"/>
          <w:b/>
          <w:sz w:val="32"/>
          <w:szCs w:val="32"/>
        </w:rPr>
        <w:t>8</w:t>
      </w:r>
      <w:r>
        <w:rPr>
          <w:rFonts w:ascii="Times New Roman" w:eastAsia="仿宋_GB2312" w:hAnsi="Times New Roman" w:cs="Times New Roman" w:hint="eastAsia"/>
          <w:b/>
          <w:color w:val="000000" w:themeColor="text1"/>
          <w:sz w:val="32"/>
          <w:szCs w:val="32"/>
        </w:rPr>
        <w:t>．</w:t>
      </w:r>
      <w:r>
        <w:rPr>
          <w:rFonts w:ascii="Times New Roman" w:eastAsia="仿宋_GB2312" w:hAnsi="Times New Roman" w:cs="Times New Roman" w:hint="eastAsia"/>
          <w:b/>
          <w:sz w:val="32"/>
          <w:szCs w:val="32"/>
        </w:rPr>
        <w:t>服务产教融合的计算机等级考试评价体系优化研究</w:t>
      </w:r>
    </w:p>
    <w:p w14:paraId="16EDEBA9" w14:textId="77777777" w:rsidR="004F405C" w:rsidRDefault="006D289E">
      <w:pPr>
        <w:spacing w:line="620" w:lineRule="exact"/>
        <w:ind w:firstLineChars="219" w:firstLine="701"/>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）开展</w:t>
      </w:r>
      <w:r>
        <w:rPr>
          <w:rFonts w:ascii="Times New Roman" w:eastAsia="仿宋_GB2312" w:hAnsi="Times New Roman" w:cs="Times New Roman" w:hint="eastAsia"/>
          <w:sz w:val="32"/>
          <w:szCs w:val="32"/>
        </w:rPr>
        <w:t>计算机等级考试服务产教融合的现状审视与需求对接研究；</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）研究构建服务产教融合的计算机等级考试评价体系框架；（</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）开展优化后评价体系与</w:t>
      </w:r>
      <w:r>
        <w:rPr>
          <w:rFonts w:ascii="Times New Roman" w:eastAsia="仿宋_GB2312" w:hAnsi="Times New Roman" w:cs="Times New Roman" w:hint="eastAsia"/>
          <w:bCs/>
          <w:sz w:val="32"/>
          <w:szCs w:val="32"/>
          <w:lang w:eastAsia="zh"/>
        </w:rPr>
        <w:t>高</w:t>
      </w:r>
      <w:r>
        <w:rPr>
          <w:rFonts w:ascii="Times New Roman" w:eastAsia="仿宋_GB2312" w:hAnsi="Times New Roman" w:cs="Times New Roman" w:hint="eastAsia"/>
          <w:bCs/>
          <w:sz w:val="32"/>
          <w:szCs w:val="32"/>
        </w:rPr>
        <w:t>校计算机课程体系的衔接匹配研究</w:t>
      </w:r>
      <w:r>
        <w:rPr>
          <w:rFonts w:ascii="Times New Roman" w:eastAsia="仿宋_GB2312" w:hAnsi="Times New Roman" w:cs="Times New Roman" w:hint="eastAsia"/>
          <w:sz w:val="32"/>
          <w:szCs w:val="32"/>
        </w:rPr>
        <w:t>；（</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）开展</w:t>
      </w:r>
      <w:r>
        <w:rPr>
          <w:rFonts w:ascii="Times New Roman" w:eastAsia="仿宋_GB2312" w:hAnsi="Times New Roman" w:cs="Times New Roman" w:hint="eastAsia"/>
          <w:sz w:val="32"/>
          <w:szCs w:val="32"/>
        </w:rPr>
        <w:t>计算机等级考试</w:t>
      </w:r>
      <w:r>
        <w:rPr>
          <w:rFonts w:ascii="Times New Roman" w:eastAsia="仿宋_GB2312" w:hAnsi="Times New Roman" w:cs="Times New Roman" w:hint="eastAsia"/>
          <w:sz w:val="32"/>
          <w:szCs w:val="32"/>
        </w:rPr>
        <w:lastRenderedPageBreak/>
        <w:t>评价结果作为就业能力证明的效度研究</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）研究提出服务产教融合的计算机等级考试改革建议。</w:t>
      </w:r>
    </w:p>
    <w:p w14:paraId="454E3A7B" w14:textId="77777777" w:rsidR="004F405C" w:rsidRDefault="006D289E">
      <w:pPr>
        <w:spacing w:line="620" w:lineRule="exact"/>
        <w:ind w:firstLineChars="219" w:firstLine="704"/>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9. </w:t>
      </w:r>
      <w:r>
        <w:rPr>
          <w:rFonts w:ascii="Times New Roman" w:eastAsia="仿宋_GB2312" w:hAnsi="Times New Roman" w:cs="Times New Roman" w:hint="eastAsia"/>
          <w:b/>
          <w:sz w:val="32"/>
          <w:szCs w:val="32"/>
        </w:rPr>
        <w:t>新时代强国战略下大学英语四、六级考试改革研究</w:t>
      </w:r>
    </w:p>
    <w:p w14:paraId="410B3EBF" w14:textId="77777777" w:rsidR="004F405C" w:rsidRDefault="006D289E">
      <w:pPr>
        <w:spacing w:line="620" w:lineRule="exact"/>
        <w:ind w:firstLineChars="219" w:firstLine="70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指南意图：（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）研究大学英语四、六级考试与新时代强国战略下人才需求的适配性；（</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）研究大学英语四、六级考试测量新构念；（</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）研究新构念下的测试任务与评分标准；（</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）研究大学英语四</w:t>
      </w:r>
      <w:r>
        <w:rPr>
          <w:rFonts w:ascii="Times New Roman" w:eastAsia="仿宋_GB2312" w:hAnsi="Times New Roman" w:cs="Times New Roman" w:hint="eastAsia"/>
          <w:sz w:val="32"/>
          <w:szCs w:val="32"/>
        </w:rPr>
        <w:t>、六级考试常模更新的技术路径与实施方案；（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）研究基于《中国英语能力等级量表》的大学英语四、六级考试分数解释体系；（</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）开展新构念、新题型与新常模下的大学英语四、六级考试效度实证研究。</w:t>
      </w:r>
    </w:p>
    <w:p w14:paraId="7136825D" w14:textId="77777777" w:rsidR="004F405C" w:rsidRDefault="006D289E">
      <w:pPr>
        <w:spacing w:line="60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10</w:t>
      </w:r>
      <w:r>
        <w:rPr>
          <w:rFonts w:ascii="Times New Roman" w:eastAsia="仿宋_GB2312" w:hAnsi="Times New Roman" w:cs="Times New Roman" w:hint="eastAsia"/>
          <w:b/>
          <w:bCs/>
          <w:sz w:val="32"/>
          <w:szCs w:val="32"/>
        </w:rPr>
        <w:t>．机考环境下异常行为智能识别与防作弊体系建构研究</w:t>
      </w:r>
    </w:p>
    <w:p w14:paraId="08009F38" w14:textId="77777777" w:rsidR="004F405C" w:rsidRDefault="006D289E">
      <w:pPr>
        <w:spacing w:line="60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）研究构建机考异常行为分类体系与标准化特征数据库；（</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）研发机考异常行为智能识别技术体系；（</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）研究异常行为智能识别技术与机考系统、监考平台的集成方案，构建防作弊技术应用的标准规范；（</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）研究</w:t>
      </w:r>
      <w:r>
        <w:rPr>
          <w:rFonts w:ascii="Times New Roman" w:eastAsia="仿宋_GB2312" w:hAnsi="Times New Roman" w:cs="Times New Roman" w:hint="eastAsia"/>
          <w:sz w:val="32"/>
          <w:szCs w:val="32"/>
        </w:rPr>
        <w:t>机考异常</w:t>
      </w:r>
      <w:r>
        <w:rPr>
          <w:rFonts w:ascii="Times New Roman" w:eastAsia="仿宋_GB2312" w:hAnsi="Times New Roman" w:cs="Times New Roman" w:hint="eastAsia"/>
          <w:bCs/>
          <w:sz w:val="32"/>
          <w:szCs w:val="32"/>
        </w:rPr>
        <w:t>行为</w:t>
      </w:r>
      <w:r>
        <w:rPr>
          <w:rFonts w:ascii="Times New Roman" w:eastAsia="仿宋_GB2312" w:hAnsi="Times New Roman" w:cs="Times New Roman" w:hint="eastAsia"/>
          <w:sz w:val="32"/>
          <w:szCs w:val="32"/>
        </w:rPr>
        <w:t>智能识别的潜在风险与防控机制；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5</w:t>
      </w:r>
      <w:r>
        <w:rPr>
          <w:rFonts w:ascii="Times New Roman" w:eastAsia="仿宋_GB2312" w:hAnsi="Times New Roman" w:cs="Times New Roman" w:hint="eastAsia"/>
          <w:bCs/>
          <w:sz w:val="32"/>
          <w:szCs w:val="32"/>
        </w:rPr>
        <w:t>）研究机考异常行为误判的申诉与救济机制。</w:t>
      </w:r>
    </w:p>
    <w:p w14:paraId="3BA5F838" w14:textId="77777777" w:rsidR="004F405C" w:rsidRDefault="006D289E">
      <w:pPr>
        <w:spacing w:line="600" w:lineRule="exact"/>
        <w:ind w:firstLineChars="219" w:firstLine="704"/>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w:t>
      </w:r>
      <w:r>
        <w:rPr>
          <w:rFonts w:ascii="Times New Roman" w:eastAsia="仿宋_GB2312" w:hAnsi="Times New Roman" w:cs="Times New Roman" w:hint="eastAsia"/>
          <w:b/>
          <w:bCs/>
          <w:sz w:val="32"/>
          <w:szCs w:val="32"/>
        </w:rPr>
        <w:t>．国家教育考试违规处理的制度困境与法治化进路研究</w:t>
      </w:r>
    </w:p>
    <w:p w14:paraId="4FC2CBE1" w14:textId="77777777" w:rsidR="004F405C" w:rsidRDefault="006D289E">
      <w:pPr>
        <w:spacing w:line="600" w:lineRule="exact"/>
        <w:ind w:firstLineChars="200" w:firstLine="640"/>
      </w:pPr>
      <w:r>
        <w:rPr>
          <w:rFonts w:ascii="Times New Roman" w:eastAsia="仿宋_GB2312" w:hAnsi="Times New Roman" w:cs="Times New Roman" w:hint="eastAsia"/>
          <w:bCs/>
          <w:sz w:val="32"/>
          <w:szCs w:val="32"/>
        </w:rPr>
        <w:t>指南意图：（</w:t>
      </w:r>
      <w:r>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）开展</w:t>
      </w:r>
      <w:r>
        <w:rPr>
          <w:rFonts w:ascii="Times New Roman" w:eastAsia="仿宋_GB2312" w:hAnsi="Times New Roman" w:cs="Times New Roman" w:hint="eastAsia"/>
          <w:sz w:val="32"/>
          <w:szCs w:val="32"/>
        </w:rPr>
        <w:t>国家教育考试违规处理的实践审视与制度困境诊断研究</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2</w:t>
      </w:r>
      <w:r>
        <w:rPr>
          <w:rFonts w:ascii="Times New Roman" w:eastAsia="仿宋_GB2312" w:hAnsi="Times New Roman" w:cs="Times New Roman" w:hint="eastAsia"/>
          <w:bCs/>
          <w:sz w:val="32"/>
          <w:szCs w:val="32"/>
        </w:rPr>
        <w:t>）研究国家教育考试违规处理的法</w:t>
      </w:r>
      <w:r>
        <w:rPr>
          <w:rFonts w:ascii="Times New Roman" w:eastAsia="仿宋_GB2312" w:hAnsi="Times New Roman" w:cs="Times New Roman" w:hint="eastAsia"/>
          <w:bCs/>
          <w:sz w:val="32"/>
          <w:szCs w:val="32"/>
        </w:rPr>
        <w:lastRenderedPageBreak/>
        <w:t>理基础与规范体系；（</w:t>
      </w:r>
      <w:r>
        <w:rPr>
          <w:rFonts w:ascii="Times New Roman" w:eastAsia="仿宋_GB2312" w:hAnsi="Times New Roman" w:cs="Times New Roman" w:hint="eastAsia"/>
          <w:bCs/>
          <w:sz w:val="32"/>
          <w:szCs w:val="32"/>
        </w:rPr>
        <w:t>3</w:t>
      </w:r>
      <w:r>
        <w:rPr>
          <w:rFonts w:ascii="Times New Roman" w:eastAsia="仿宋_GB2312" w:hAnsi="Times New Roman" w:cs="Times New Roman" w:hint="eastAsia"/>
          <w:bCs/>
          <w:sz w:val="32"/>
          <w:szCs w:val="32"/>
        </w:rPr>
        <w:t>）研究构建国家教育考试违规处理法治化的制度体系；（</w:t>
      </w:r>
      <w:r>
        <w:rPr>
          <w:rFonts w:ascii="Times New Roman" w:eastAsia="仿宋_GB2312" w:hAnsi="Times New Roman" w:cs="Times New Roman" w:hint="eastAsia"/>
          <w:bCs/>
          <w:sz w:val="32"/>
          <w:szCs w:val="32"/>
        </w:rPr>
        <w:t>4</w:t>
      </w:r>
      <w:r>
        <w:rPr>
          <w:rFonts w:ascii="Times New Roman" w:eastAsia="仿宋_GB2312" w:hAnsi="Times New Roman" w:cs="Times New Roman" w:hint="eastAsia"/>
          <w:bCs/>
          <w:sz w:val="32"/>
          <w:szCs w:val="32"/>
        </w:rPr>
        <w:t>）研究国家教育考试违规处理制度完善的推进路径与配套保障；（</w:t>
      </w:r>
      <w:r>
        <w:rPr>
          <w:rFonts w:ascii="Times New Roman" w:eastAsia="仿宋_GB2312" w:hAnsi="Times New Roman" w:cs="Times New Roman" w:hint="eastAsia"/>
          <w:bCs/>
          <w:sz w:val="32"/>
          <w:szCs w:val="32"/>
        </w:rPr>
        <w:t>5</w:t>
      </w:r>
      <w:r>
        <w:rPr>
          <w:rFonts w:ascii="Times New Roman" w:eastAsia="仿宋_GB2312" w:hAnsi="Times New Roman" w:cs="Times New Roman" w:hint="eastAsia"/>
          <w:bCs/>
          <w:sz w:val="32"/>
          <w:szCs w:val="32"/>
        </w:rPr>
        <w:t>）研制《国家教育考试违规处理办法（修订建议稿）》及配套裁量基准指南。</w:t>
      </w:r>
    </w:p>
    <w:p w14:paraId="09DD5EEC" w14:textId="77777777" w:rsidR="004F405C" w:rsidRDefault="004F405C">
      <w:pPr>
        <w:spacing w:line="600" w:lineRule="exact"/>
        <w:ind w:firstLineChars="328" w:firstLine="1050"/>
        <w:rPr>
          <w:rFonts w:ascii="Times New Roman" w:eastAsia="仿宋_GB2312" w:hAnsi="Times New Roman"/>
          <w:color w:val="000000"/>
          <w:sz w:val="32"/>
          <w:szCs w:val="32"/>
        </w:rPr>
      </w:pPr>
    </w:p>
    <w:p w14:paraId="3DAFB87B" w14:textId="4FD1CD9C" w:rsidR="004F405C" w:rsidRDefault="006D289E" w:rsidP="004408DB">
      <w:pPr>
        <w:tabs>
          <w:tab w:val="left" w:pos="630"/>
        </w:tabs>
        <w:ind w:firstLineChars="196" w:firstLine="627"/>
        <w:rPr>
          <w:rFonts w:ascii="Times New Roman" w:eastAsia="仿宋_GB2312" w:hAnsi="Times New Roman" w:cs="Times New Roman"/>
          <w:sz w:val="32"/>
          <w:szCs w:val="32"/>
        </w:rPr>
      </w:pPr>
      <w:r>
        <w:rPr>
          <w:rFonts w:ascii="黑体" w:eastAsia="黑体" w:hAnsi="黑体" w:hint="eastAsia"/>
          <w:sz w:val="32"/>
          <w:szCs w:val="32"/>
        </w:rPr>
        <w:t>说明：</w:t>
      </w:r>
      <w:r>
        <w:rPr>
          <w:rFonts w:ascii="Times New Roman" w:eastAsia="仿宋_GB2312" w:hAnsi="Times New Roman" w:cs="Times New Roman"/>
          <w:sz w:val="32"/>
          <w:szCs w:val="32"/>
        </w:rPr>
        <w:t>可自拟题目申报</w:t>
      </w:r>
      <w:r>
        <w:rPr>
          <w:rFonts w:ascii="Times New Roman" w:eastAsia="仿宋_GB2312" w:hAnsi="Times New Roman" w:cs="Times New Roman" w:hint="eastAsia"/>
          <w:sz w:val="32"/>
          <w:szCs w:val="32"/>
        </w:rPr>
        <w:t>，按指南所列选题申报的予以优先</w:t>
      </w:r>
      <w:r>
        <w:rPr>
          <w:rFonts w:ascii="Times New Roman" w:eastAsia="仿宋_GB2312" w:hAnsi="Times New Roman" w:cs="Times New Roman" w:hint="eastAsia"/>
          <w:sz w:val="32"/>
          <w:szCs w:val="32"/>
        </w:rPr>
        <w:t>立项。</w:t>
      </w:r>
      <w:r>
        <w:rPr>
          <w:rFonts w:ascii="Times New Roman" w:eastAsia="仿宋_GB2312" w:hAnsi="Times New Roman" w:cs="Times New Roman"/>
          <w:sz w:val="32"/>
          <w:szCs w:val="32"/>
        </w:rPr>
        <w:br w:type="page"/>
      </w:r>
    </w:p>
    <w:p w14:paraId="0D5C7055" w14:textId="77777777" w:rsidR="004F405C" w:rsidRDefault="004F405C"/>
    <w:sectPr w:rsidR="004F40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8EEA" w14:textId="77777777" w:rsidR="006D289E" w:rsidRDefault="006D289E" w:rsidP="004408DB">
      <w:r>
        <w:separator/>
      </w:r>
    </w:p>
  </w:endnote>
  <w:endnote w:type="continuationSeparator" w:id="0">
    <w:p w14:paraId="6A5EFCC8" w14:textId="77777777" w:rsidR="006D289E" w:rsidRDefault="006D289E" w:rsidP="0044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B0300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F06D4" w14:textId="77777777" w:rsidR="006D289E" w:rsidRDefault="006D289E" w:rsidP="004408DB">
      <w:r>
        <w:separator/>
      </w:r>
    </w:p>
  </w:footnote>
  <w:footnote w:type="continuationSeparator" w:id="0">
    <w:p w14:paraId="5EA4B724" w14:textId="77777777" w:rsidR="006D289E" w:rsidRDefault="006D289E" w:rsidP="00440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B3"/>
    <w:rsid w:val="F7E57A41"/>
    <w:rsid w:val="004330C7"/>
    <w:rsid w:val="004408DB"/>
    <w:rsid w:val="004F405C"/>
    <w:rsid w:val="006D289E"/>
    <w:rsid w:val="008914B3"/>
    <w:rsid w:val="00E8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569D24-9376-45AD-AF7D-31C3D4F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8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08DB"/>
    <w:rPr>
      <w:kern w:val="2"/>
      <w:sz w:val="18"/>
      <w:szCs w:val="18"/>
    </w:rPr>
  </w:style>
  <w:style w:type="paragraph" w:styleId="a5">
    <w:name w:val="footer"/>
    <w:basedOn w:val="a"/>
    <w:link w:val="a6"/>
    <w:uiPriority w:val="99"/>
    <w:unhideWhenUsed/>
    <w:rsid w:val="004408DB"/>
    <w:pPr>
      <w:tabs>
        <w:tab w:val="center" w:pos="4153"/>
        <w:tab w:val="right" w:pos="8306"/>
      </w:tabs>
      <w:snapToGrid w:val="0"/>
      <w:jc w:val="left"/>
    </w:pPr>
    <w:rPr>
      <w:sz w:val="18"/>
      <w:szCs w:val="18"/>
    </w:rPr>
  </w:style>
  <w:style w:type="character" w:customStyle="1" w:styleId="a6">
    <w:name w:val="页脚 字符"/>
    <w:basedOn w:val="a0"/>
    <w:link w:val="a5"/>
    <w:uiPriority w:val="99"/>
    <w:rsid w:val="004408DB"/>
    <w:rPr>
      <w:kern w:val="2"/>
      <w:sz w:val="18"/>
      <w:szCs w:val="18"/>
    </w:rPr>
  </w:style>
  <w:style w:type="paragraph" w:styleId="a7">
    <w:name w:val="Balloon Text"/>
    <w:basedOn w:val="a"/>
    <w:link w:val="a8"/>
    <w:uiPriority w:val="99"/>
    <w:semiHidden/>
    <w:unhideWhenUsed/>
    <w:rsid w:val="004408DB"/>
    <w:rPr>
      <w:sz w:val="18"/>
      <w:szCs w:val="18"/>
    </w:rPr>
  </w:style>
  <w:style w:type="character" w:customStyle="1" w:styleId="a8">
    <w:name w:val="批注框文本 字符"/>
    <w:basedOn w:val="a0"/>
    <w:link w:val="a7"/>
    <w:uiPriority w:val="99"/>
    <w:semiHidden/>
    <w:rsid w:val="004408D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309</Words>
  <Characters>1762</Characters>
  <Application>Microsoft Office Word</Application>
  <DocSecurity>0</DocSecurity>
  <Lines>14</Lines>
  <Paragraphs>4</Paragraphs>
  <ScaleCrop>false</ScaleCrop>
  <Company>神州网信技术有限公司</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贾洪芳</dc:creator>
  <cp:lastModifiedBy>张春艳</cp:lastModifiedBy>
  <cp:revision>2</cp:revision>
  <dcterms:created xsi:type="dcterms:W3CDTF">2026-04-10T09:34:00Z</dcterms:created>
  <dcterms:modified xsi:type="dcterms:W3CDTF">2026-04-13T02:10:00Z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394D24FAF475D63B575AD869D280252E_43</vt:lpwstr>
  </property>
</Properties>
</file>